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rPr/>
      </w:pPr>
      <w:bookmarkStart w:id="0" w:name="_Toc75173027"/>
      <w:bookmarkStart w:id="1" w:name="_Toc75173136"/>
      <w:bookmarkStart w:id="2" w:name="_Toc75173970"/>
      <w:bookmarkStart w:id="3" w:name="_Toc75165419"/>
      <w:r>
        <w:rPr/>
        <w:t>Раздел 6. Развертывание, настройка и поддержка сервисов</w:t>
      </w:r>
      <w:bookmarkEnd w:id="0"/>
      <w:bookmarkEnd w:id="1"/>
      <w:bookmarkEnd w:id="2"/>
      <w:bookmarkEnd w:id="3"/>
    </w:p>
    <w:p>
      <w:pPr>
        <w:pStyle w:val="Normal"/>
        <w:rPr/>
      </w:pPr>
      <w:r>
        <w:rPr/>
      </w:r>
    </w:p>
    <w:p>
      <w:pPr>
        <w:pStyle w:val="Heading2"/>
        <w:rPr/>
      </w:pPr>
      <w:bookmarkStart w:id="4" w:name="_Toc75173137"/>
      <w:bookmarkStart w:id="5" w:name="_Toc75173971"/>
      <w:bookmarkStart w:id="6" w:name="_Toc75173028"/>
      <w:r>
        <w:rPr/>
        <w:t>6.1 Обзор основных принципов организации сервисов в рамках информационной инфраструктуры</w:t>
      </w:r>
      <w:bookmarkEnd w:id="4"/>
      <w:bookmarkEnd w:id="5"/>
      <w:bookmarkEnd w:id="6"/>
    </w:p>
    <w:p>
      <w:pPr>
        <w:pStyle w:val="Style11"/>
        <w:jc w:val="left"/>
        <w:rPr/>
      </w:pPr>
      <w:r>
        <w:rPr/>
        <w:drawing>
          <wp:inline distT="0" distB="0" distL="0" distR="0">
            <wp:extent cx="5942965" cy="3342640"/>
            <wp:effectExtent l="0" t="0" r="0" b="0"/>
            <wp:docPr id="1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48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60"/>
        <w:gridCol w:w="851"/>
        <w:gridCol w:w="4537"/>
      </w:tblGrid>
      <w:tr>
        <w:trPr/>
        <w:tc>
          <w:tcPr>
            <w:tcW w:w="37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Calibri"/>
                <w:bCs/>
                <w:lang w:eastAsia="en-US"/>
              </w:rPr>
            </w:pPr>
            <w:r>
              <w:rPr>
                <w:rFonts w:eastAsia="Calibri"/>
                <w:bCs/>
                <w:lang w:eastAsia="en-US"/>
              </w:rPr>
              <w:t>Microsoft Certified</w:t>
            </w:r>
          </w:p>
          <w:p>
            <w:pPr>
              <w:pStyle w:val="Normal"/>
              <w:spacing w:lineRule="auto" w:line="240" w:before="0" w:after="0"/>
              <w:rPr>
                <w:rFonts w:eastAsia="Calibri"/>
              </w:rPr>
            </w:pPr>
            <w:r>
              <w:rPr>
                <w:rFonts w:eastAsia="Calibri"/>
              </w:rPr>
            </w:r>
          </w:p>
        </w:tc>
        <w:tc>
          <w:tcPr>
            <w:tcW w:w="85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Calibri"/>
              </w:rPr>
            </w:pPr>
            <w:r>
              <w:rPr>
                <w:rFonts w:eastAsia="Calibri"/>
              </w:rPr>
            </w:r>
          </w:p>
        </w:tc>
        <w:tc>
          <w:tcPr>
            <w:tcW w:w="453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Calibri"/>
                <w:bCs/>
                <w:lang w:eastAsia="en-US"/>
              </w:rPr>
            </w:pPr>
            <w:r>
              <w:rPr>
                <w:rFonts w:eastAsia="Calibri"/>
                <w:bCs/>
                <w:lang w:eastAsia="en-US"/>
              </w:rPr>
              <w:t>Microsoft Learn | Microsoft Docs</w:t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eastAsia="Calibri"/>
                <w:bCs/>
                <w:lang w:eastAsia="en-US"/>
              </w:rPr>
            </w:pPr>
            <w:r>
              <w:rPr>
                <w:rFonts w:eastAsia="Calibri"/>
                <w:bCs/>
                <w:lang w:eastAsia="en-US"/>
              </w:rPr>
            </w:r>
          </w:p>
        </w:tc>
      </w:tr>
      <w:tr>
        <w:trPr/>
        <w:tc>
          <w:tcPr>
            <w:tcW w:w="37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251075" cy="2251075"/>
                  <wp:effectExtent l="0" t="0" r="0" b="0"/>
                  <wp:docPr id="2" name="Рисунок 25" descr="qrcode_qu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5" descr="qrcode_qu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07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Calibri"/>
              </w:rPr>
            </w:pPr>
            <w:r>
              <w:rPr>
                <w:rFonts w:eastAsia="Calibri"/>
              </w:rPr>
            </w:r>
          </w:p>
        </w:tc>
        <w:tc>
          <w:tcPr>
            <w:tcW w:w="453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2237105" cy="2237105"/>
                  <wp:effectExtent l="0" t="0" r="0" b="0"/>
                  <wp:docPr id="3" name="Рисунок 26" descr="qrcode_do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6" descr="qrcode_do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105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11"/>
        <w:jc w:val="left"/>
        <w:rPr>
          <w:b/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</w:r>
    </w:p>
    <w:p>
      <w:pPr>
        <w:pStyle w:val="Style11"/>
        <w:jc w:val="left"/>
        <w:rPr>
          <w:b/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</w:r>
    </w:p>
    <w:p>
      <w:pPr>
        <w:pStyle w:val="Heading2"/>
        <w:rPr/>
      </w:pPr>
      <w:bookmarkStart w:id="7" w:name="_Toc75173029"/>
      <w:bookmarkStart w:id="8" w:name="_Toc75173138"/>
      <w:bookmarkStart w:id="9" w:name="_Toc75173972"/>
      <w:bookmarkStart w:id="10" w:name="_n7ext52b73yn"/>
      <w:bookmarkEnd w:id="10"/>
      <w:r>
        <w:rPr/>
        <w:t>6.2 Базовые инфраструктурные и сетевые службы</w:t>
      </w:r>
      <w:bookmarkEnd w:id="7"/>
      <w:bookmarkEnd w:id="8"/>
      <w:bookmarkEnd w:id="9"/>
    </w:p>
    <w:p>
      <w:pPr>
        <w:pStyle w:val="Heading3"/>
        <w:rPr/>
      </w:pPr>
      <w:bookmarkStart w:id="11" w:name="_Toc75165421"/>
      <w:bookmarkStart w:id="12" w:name="_Toc75173030"/>
      <w:bookmarkStart w:id="13" w:name="_Toc75173139"/>
      <w:bookmarkStart w:id="14" w:name="_Toc75173973"/>
      <w:bookmarkStart w:id="15" w:name="_Toc74064143"/>
      <w:r>
        <w:rPr/>
        <w:t>6.2.1 Базовая конфигурации</w:t>
      </w:r>
      <w:bookmarkEnd w:id="11"/>
      <w:bookmarkEnd w:id="12"/>
      <w:bookmarkEnd w:id="13"/>
      <w:bookmarkEnd w:id="14"/>
      <w:bookmarkEnd w:id="15"/>
      <w:r>
        <w:rPr/>
        <w:t xml:space="preserve"> </w:t>
      </w:r>
    </w:p>
    <w:p>
      <w:pPr>
        <w:pStyle w:val="Normal"/>
        <w:ind w:left="0" w:right="0" w:firstLine="709"/>
        <w:jc w:val="both"/>
        <w:rPr>
          <w:bCs/>
        </w:rPr>
      </w:pPr>
      <w:r>
        <w:rPr>
          <w:bCs/>
        </w:rPr>
        <w:t>Первым этапом необходимо сделать базовую конфигурацию, а именно переименовать сервер для корректного инфицирование в сети.</w:t>
      </w:r>
    </w:p>
    <w:p>
      <w:pPr>
        <w:pStyle w:val="Normal"/>
        <w:ind w:left="0" w:right="0" w:firstLine="709"/>
        <w:jc w:val="both"/>
        <w:rPr/>
      </w:pPr>
      <w:r>
        <w:rPr>
          <w:bCs/>
        </w:rPr>
        <w:t>В</w:t>
      </w:r>
      <w:r>
        <w:rPr>
          <w:bCs/>
          <w:lang w:val="en-US"/>
        </w:rPr>
        <w:t xml:space="preserve"> </w:t>
      </w:r>
      <w:r>
        <w:rPr>
          <w:bCs/>
        </w:rPr>
        <w:t>оснастке</w:t>
      </w:r>
      <w:r>
        <w:rPr>
          <w:bCs/>
          <w:lang w:val="en-US"/>
        </w:rPr>
        <w:t xml:space="preserve"> server manager </w:t>
      </w:r>
      <w:r>
        <w:rPr>
          <w:bCs/>
        </w:rPr>
        <w:t>переходим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вкладку</w:t>
      </w:r>
      <w:r>
        <w:rPr>
          <w:bCs/>
          <w:lang w:val="en-US"/>
        </w:rPr>
        <w:t xml:space="preserve"> local server </w:t>
      </w:r>
      <w:r>
        <w:rPr>
          <w:bCs/>
        </w:rPr>
        <w:t>в</w:t>
      </w:r>
      <w:r>
        <w:rPr>
          <w:bCs/>
          <w:lang w:val="en-US"/>
        </w:rPr>
        <w:t xml:space="preserve"> Computer name. </w:t>
      </w:r>
      <w:r>
        <w:rPr>
          <w:bCs/>
        </w:rPr>
        <w:t>Указываем имя, которое нам необходимо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37885" cy="5267325"/>
            <wp:effectExtent l="0" t="0" r="0" b="0"/>
            <wp:docPr id="4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/>
      </w:pPr>
      <w:r>
        <w:rPr>
          <w:bCs/>
        </w:rPr>
        <w:t>Далее нам необходимо настроить время на сервере и часовой пояс. на вкладку local server выбираем пункт time zone.</w:t>
      </w:r>
      <w:r>
        <w:rPr/>
        <w:drawing>
          <wp:inline distT="0" distB="0" distL="0" distR="0">
            <wp:extent cx="5937885" cy="4407535"/>
            <wp:effectExtent l="0" t="0" r="0" b="0"/>
            <wp:docPr id="5" name="Рисунок 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3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Настройка сетевого интерфейса на сервере.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37885" cy="3359150"/>
            <wp:effectExtent l="0" t="0" r="0" b="0"/>
            <wp:docPr id="6" name="Рисунок 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3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  <w:t>Назначение статических сетевых настроек по протоколу TCP/IPv4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37885" cy="3621405"/>
            <wp:effectExtent l="0" t="0" r="0" b="0"/>
            <wp:docPr id="7" name="Рисунок 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3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>
          <w:bCs/>
        </w:rPr>
        <w:t>Установка и настройка ролей осуществляется на в кладке Manage также есть возможность управлениями несколькими удаленными серверами.</w:t>
      </w:r>
      <w:r>
        <w:rPr/>
        <w:drawing>
          <wp:inline distT="0" distB="0" distL="0" distR="0">
            <wp:extent cx="5940425" cy="4450080"/>
            <wp:effectExtent l="0" t="0" r="0" b="0"/>
            <wp:docPr id="8" name="Рисунок 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  <w:bookmarkStart w:id="16" w:name="_Toc74064144"/>
      <w:bookmarkStart w:id="17" w:name="_Toc73977783"/>
      <w:bookmarkStart w:id="18" w:name="_Toc74064144"/>
      <w:bookmarkStart w:id="19" w:name="_Toc73977783"/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  <w:b/>
        </w:rPr>
      </w:pPr>
      <w:r>
        <w:rPr>
          <w:b/>
        </w:rPr>
      </w:r>
    </w:p>
    <w:p>
      <w:pPr>
        <w:pStyle w:val="Heading3"/>
        <w:rPr/>
      </w:pPr>
      <w:bookmarkStart w:id="20" w:name="_Toc74064144"/>
      <w:bookmarkStart w:id="21" w:name="_Toc73977783"/>
      <w:bookmarkStart w:id="22" w:name="_Toc75173031"/>
      <w:bookmarkStart w:id="23" w:name="_Toc75173140"/>
      <w:bookmarkStart w:id="24" w:name="_Toc75173974"/>
      <w:bookmarkStart w:id="25" w:name="_Toc75165422"/>
      <w:r>
        <w:rPr/>
        <w:t>6.2.2 Роль ADDS</w:t>
      </w:r>
      <w:bookmarkEnd w:id="20"/>
      <w:bookmarkEnd w:id="21"/>
      <w:bookmarkEnd w:id="22"/>
      <w:bookmarkEnd w:id="23"/>
      <w:bookmarkEnd w:id="24"/>
      <w:bookmarkEnd w:id="25"/>
    </w:p>
    <w:p>
      <w:pPr>
        <w:pStyle w:val="Normal"/>
        <w:spacing w:before="0" w:after="160"/>
        <w:rPr>
          <w:bCs/>
        </w:rPr>
      </w:pPr>
      <w:r>
        <w:rPr>
          <w:bCs/>
        </w:rPr>
        <w:t xml:space="preserve">Установка роли осуществляется отметкой в check box при выборе роли есть краткое описание ее назначения </w:t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0" distL="0" distR="0">
            <wp:extent cx="6254750" cy="3456940"/>
            <wp:effectExtent l="0" t="0" r="0" b="0"/>
            <wp:docPr id="9" name="Рисунок 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Cs/>
        </w:rPr>
      </w:pPr>
      <w:r>
        <w:rPr>
          <w:bCs/>
        </w:rPr>
        <w:t xml:space="preserve">В ходе установки и настройки может понадобиться перезагрузка при установке отметки сервер это сделает в автоматическом режиме </w:t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0" distL="0" distR="0">
            <wp:extent cx="5410200" cy="3374390"/>
            <wp:effectExtent l="0" t="0" r="0" b="0"/>
            <wp:docPr id="10" name="Рисунок 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4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Cs/>
        </w:rPr>
      </w:pPr>
      <w:r>
        <w:rPr>
          <w:bCs/>
        </w:rPr>
        <w:t>После установки роли необходимо ее настроить, а именно указать имя нового домена и создать лес.</w:t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940425" cy="3733800"/>
            <wp:effectExtent l="0" t="0" r="0" b="0"/>
            <wp:docPr id="11" name="Рисунок 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3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Далее выбрать уровень работы леса и домена, задать криптостойки пароль для базы данных </w:t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0" distL="0" distR="0">
            <wp:extent cx="4664075" cy="3027045"/>
            <wp:effectExtent l="0" t="0" r="0" b="0"/>
            <wp:docPr id="12" name="Рисунок 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3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Cs/>
        </w:rPr>
      </w:pPr>
      <w:r>
        <w:rPr>
          <w:bCs/>
        </w:rPr>
        <w:t xml:space="preserve">Перед завершение настроек сервер автоматически произведет валидацию конфигурации и даст рекомендации </w:t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0" distL="0" distR="0">
            <wp:extent cx="5096510" cy="3615055"/>
            <wp:effectExtent l="0" t="0" r="0" b="0"/>
            <wp:docPr id="13" name="Рисунок 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3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Cs/>
        </w:rPr>
      </w:pPr>
      <w:r>
        <w:rPr>
          <w:bCs/>
        </w:rPr>
        <w:t xml:space="preserve">В ходе завершения настройки сервер автоматически перезагрузиться 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5159375" cy="2819400"/>
            <wp:effectExtent l="0" t="0" r="0" b="0"/>
            <wp:docPr id="14" name="Рисунок 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5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Heading3"/>
        <w:rPr/>
      </w:pPr>
      <w:bookmarkStart w:id="26" w:name="_Toc75163506"/>
      <w:bookmarkStart w:id="27" w:name="_Toc73977784"/>
      <w:bookmarkStart w:id="28" w:name="_Toc74064145"/>
      <w:bookmarkStart w:id="29" w:name="_Toc75164146"/>
      <w:bookmarkStart w:id="30" w:name="_Toc75165423"/>
      <w:bookmarkStart w:id="31" w:name="_Toc75173032"/>
      <w:bookmarkStart w:id="32" w:name="_Toc75173141"/>
      <w:bookmarkStart w:id="33" w:name="_Toc75173975"/>
      <w:bookmarkStart w:id="34" w:name="_Toc75163209"/>
      <w:r>
        <w:rPr/>
        <w:t>6.2.3 Роль DNS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Normal"/>
        <w:ind w:left="0" w:right="0" w:firstLine="70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>Необходимо также до конфигурировать DNS сервер. Создать обратную зону и добавить запись при необходимости</w:t>
      </w:r>
    </w:p>
    <w:p>
      <w:pPr>
        <w:pStyle w:val="Normal"/>
        <w:spacing w:lineRule="auto" w:line="259"/>
        <w:rPr/>
      </w:pPr>
      <w:r>
        <w:rPr/>
        <w:drawing>
          <wp:inline distT="0" distB="0" distL="0" distR="0">
            <wp:extent cx="5940425" cy="3970020"/>
            <wp:effectExtent l="0" t="0" r="0" b="0"/>
            <wp:docPr id="15" name="Рисунок 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4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</w:r>
    </w:p>
    <w:p>
      <w:pPr>
        <w:pStyle w:val="Normal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 xml:space="preserve">Создаем новую primary zone </w:t>
      </w:r>
    </w:p>
    <w:p>
      <w:pPr>
        <w:pStyle w:val="Normal"/>
        <w:spacing w:lineRule="auto" w:line="259"/>
        <w:jc w:val="center"/>
        <w:rPr/>
      </w:pPr>
      <w:r>
        <w:rPr/>
        <w:drawing>
          <wp:inline distT="0" distB="0" distL="0" distR="0">
            <wp:extent cx="5829300" cy="3349625"/>
            <wp:effectExtent l="0" t="0" r="0" b="0"/>
            <wp:docPr id="16" name="Рисунок 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4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>Выбираем протокол для короткорого будет создана обратная зона IPv4.</w:t>
      </w:r>
    </w:p>
    <w:p>
      <w:pPr>
        <w:pStyle w:val="Normal"/>
        <w:spacing w:lineRule="auto" w:line="259"/>
        <w:rPr/>
      </w:pPr>
      <w:r>
        <w:rPr/>
        <w:drawing>
          <wp:inline distT="0" distB="0" distL="0" distR="0">
            <wp:extent cx="5940425" cy="3901440"/>
            <wp:effectExtent l="0" t="0" r="0" b="0"/>
            <wp:docPr id="17" name="Рисунок 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4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>Заполняем 3 октета необходимой подсети</w:t>
      </w:r>
    </w:p>
    <w:p>
      <w:pPr>
        <w:pStyle w:val="Normal"/>
        <w:spacing w:lineRule="auto" w:line="259"/>
        <w:jc w:val="center"/>
        <w:rPr/>
      </w:pPr>
      <w:r>
        <w:rPr/>
        <w:drawing>
          <wp:inline distT="0" distB="0" distL="0" distR="0">
            <wp:extent cx="5753100" cy="3999865"/>
            <wp:effectExtent l="0" t="0" r="0" b="0"/>
            <wp:docPr id="18" name="Рисунок 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4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>В прямой зоне выбираем запись типа А и добавляем ее в PTR</w:t>
      </w:r>
    </w:p>
    <w:p>
      <w:pPr>
        <w:pStyle w:val="Normal"/>
        <w:spacing w:lineRule="auto" w:line="259"/>
        <w:rPr/>
      </w:pPr>
      <w:r>
        <w:rPr/>
        <w:drawing>
          <wp:inline distT="0" distB="0" distL="0" distR="0">
            <wp:extent cx="5940425" cy="3409950"/>
            <wp:effectExtent l="0" t="0" r="0" b="0"/>
            <wp:docPr id="19" name="Рисунок 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4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rPr>
          <w:rFonts w:eastAsia="Calibri"/>
          <w:bCs/>
          <w:lang w:eastAsia="en-US"/>
        </w:rPr>
      </w:pPr>
      <w:r>
        <w:rPr>
          <w:rFonts w:eastAsia="Calibri"/>
          <w:bCs/>
          <w:lang w:eastAsia="en-US"/>
        </w:rPr>
        <w:t xml:space="preserve">Базовая конфигурация DNC закончена и можно проверить работоспособность используя команду nslookup </w:t>
      </w:r>
    </w:p>
    <w:p>
      <w:pPr>
        <w:pStyle w:val="Normal"/>
        <w:spacing w:lineRule="auto" w:line="259"/>
        <w:rPr/>
      </w:pPr>
      <w:r>
        <w:rPr/>
        <w:drawing>
          <wp:inline distT="0" distB="0" distL="0" distR="0">
            <wp:extent cx="5940425" cy="3294380"/>
            <wp:effectExtent l="0" t="0" r="0" b="0"/>
            <wp:docPr id="20" name="Рисунок 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4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br w:type="page"/>
      </w:r>
    </w:p>
    <w:p>
      <w:pPr>
        <w:pStyle w:val="Heading3"/>
        <w:rPr/>
      </w:pPr>
      <w:bookmarkStart w:id="35" w:name="_Toc74064146"/>
      <w:bookmarkStart w:id="36" w:name="_Toc75165424"/>
      <w:bookmarkStart w:id="37" w:name="_Toc75173033"/>
      <w:bookmarkStart w:id="38" w:name="_Toc75173142"/>
      <w:bookmarkStart w:id="39" w:name="_Toc75173976"/>
      <w:bookmarkStart w:id="40" w:name="_Toc73977785"/>
      <w:r>
        <w:rPr/>
        <w:t>6.2.4 Роль DHCP</w:t>
      </w:r>
      <w:bookmarkEnd w:id="35"/>
      <w:bookmarkEnd w:id="36"/>
      <w:bookmarkEnd w:id="37"/>
      <w:bookmarkEnd w:id="38"/>
      <w:bookmarkEnd w:id="39"/>
      <w:bookmarkEnd w:id="40"/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  <w:t>Установка роли DHCP производиться по аналогии с AD DS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124960"/>
            <wp:effectExtent l="0" t="0" r="0" b="0"/>
            <wp:docPr id="21" name="Рисунок 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4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</w:r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  <w:t>Также указываем что бы сервер перезагрузился в автоматическом режиме если в этом будет необходимость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413760"/>
            <wp:effectExtent l="0" t="0" r="0" b="0"/>
            <wp:docPr id="22" name="Рисунок 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4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  <w:t>В ходе до настройки необходимо указать пользователя под которым будет авторизирован сервер DHCP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642360"/>
            <wp:effectExtent l="0" t="0" r="0" b="0"/>
            <wp:docPr id="23" name="Рисунок 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5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</w:r>
    </w:p>
    <w:p>
      <w:pPr>
        <w:pStyle w:val="Normal"/>
        <w:spacing w:lineRule="auto" w:line="259" w:before="0" w:after="160"/>
        <w:rPr>
          <w:bCs/>
        </w:rPr>
      </w:pPr>
      <w:r>
        <w:rPr>
          <w:bCs/>
        </w:rPr>
        <w:t xml:space="preserve">Создание нового DHPC scope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107180"/>
            <wp:effectExtent l="0" t="0" r="0" b="0"/>
            <wp:docPr id="24" name="Рисунок 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5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Задаем имя для DHPC scope</w:t>
      </w:r>
    </w:p>
    <w:p>
      <w:pPr>
        <w:pStyle w:val="Normal"/>
        <w:rPr/>
      </w:pPr>
      <w:r>
        <w:rPr/>
        <w:drawing>
          <wp:inline distT="0" distB="0" distL="0" distR="0">
            <wp:extent cx="5940425" cy="3116580"/>
            <wp:effectExtent l="0" t="0" r="0" b="0"/>
            <wp:docPr id="25" name="Рисунок 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5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Задаем диапазон адресов которые будут выдавать DHPC scope и маску подсети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5229225" cy="4150360"/>
            <wp:effectExtent l="0" t="0" r="0" b="0"/>
            <wp:docPr id="26" name="Рисунок 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5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Продолжим в оснастки автоматически конфигурировать дополнительные опции к DHPC scope если в этом есть необходимость</w:t>
      </w:r>
    </w:p>
    <w:p>
      <w:pPr>
        <w:pStyle w:val="Normal"/>
        <w:rPr/>
      </w:pPr>
      <w:r>
        <w:rPr/>
        <w:drawing>
          <wp:inline distT="0" distB="0" distL="0" distR="0">
            <wp:extent cx="5940425" cy="3840480"/>
            <wp:effectExtent l="0" t="0" r="0" b="0"/>
            <wp:docPr id="27" name="Рисунок 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5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Зададим default gateway для нашей подсети которая является опцией 003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4785360" cy="3320415"/>
            <wp:effectExtent l="0" t="0" r="0" b="0"/>
            <wp:docPr id="28" name="Рисунок 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6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Автоматически определиться DNS Domain Name опция 015 и адрес DNS сервера опция 006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322320"/>
            <wp:effectExtent l="0" t="0" r="0" b="0"/>
            <wp:docPr id="29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Если все конфигурации правильные по завершению всех настроек можно указать отметку на yes после чего DHPC scope будет включен и начнет свою работу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741420"/>
            <wp:effectExtent l="0" t="0" r="0" b="0"/>
            <wp:docPr id="30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  <w:lang w:val="en-US"/>
        </w:rPr>
      </w:pPr>
      <w:r>
        <w:rPr>
          <w:b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В качестве проверки можно зайти на клиента и при помощи команды ipconfig /all убедится в том что мы получили адрес по IPv4 с правильными опциями</w:t>
      </w:r>
    </w:p>
    <w:p>
      <w:pPr>
        <w:pStyle w:val="Normal"/>
        <w:rPr/>
      </w:pPr>
      <w:r>
        <w:rPr/>
        <w:drawing>
          <wp:inline distT="0" distB="0" distL="0" distR="0">
            <wp:extent cx="5940425" cy="3635375"/>
            <wp:effectExtent l="0" t="0" r="0" b="0"/>
            <wp:docPr id="31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Добавление компьютера в домен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189605"/>
            <wp:effectExtent l="0" t="0" r="0" b="0"/>
            <wp:docPr id="32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Heading3"/>
        <w:rPr/>
      </w:pPr>
      <w:bookmarkStart w:id="41" w:name="_Toc74064147"/>
      <w:bookmarkStart w:id="42" w:name="_Toc75165425"/>
      <w:bookmarkStart w:id="43" w:name="_Toc75173034"/>
      <w:bookmarkStart w:id="44" w:name="_Toc75173143"/>
      <w:bookmarkStart w:id="45" w:name="_Toc75173977"/>
      <w:bookmarkStart w:id="46" w:name="_Toc73977786"/>
      <w:r>
        <w:rPr/>
        <w:t>6.2.5 Работа с ролью ADDS</w:t>
      </w:r>
      <w:bookmarkEnd w:id="41"/>
      <w:bookmarkEnd w:id="42"/>
      <w:bookmarkEnd w:id="43"/>
      <w:bookmarkEnd w:id="44"/>
      <w:bookmarkEnd w:id="45"/>
      <w:bookmarkEnd w:id="46"/>
    </w:p>
    <w:p>
      <w:pPr>
        <w:pStyle w:val="Normal"/>
        <w:rPr/>
      </w:pPr>
      <w:r>
        <w:rPr>
          <w:bCs/>
        </w:rPr>
        <w:t>Работа с AD DS создание OU для распределения иерархичного хранения</w:t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0425" cy="3735705"/>
            <wp:effectExtent l="0" t="0" r="0" b="0"/>
            <wp:docPr id="33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Создание группы безопасности для пользователей </w:t>
      </w:r>
    </w:p>
    <w:p>
      <w:pPr>
        <w:pStyle w:val="Normal"/>
        <w:rPr/>
      </w:pPr>
      <w:r>
        <w:rPr/>
        <w:drawing>
          <wp:inline distT="0" distB="0" distL="0" distR="0">
            <wp:extent cx="5940425" cy="3690620"/>
            <wp:effectExtent l="0" t="0" r="0" b="0"/>
            <wp:docPr id="34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/>
      </w:pPr>
      <w:r>
        <w:rPr>
          <w:bCs/>
        </w:rPr>
        <w:t xml:space="preserve">Создание пользователя для аутентификации на хосте </w:t>
      </w:r>
      <w:r>
        <w:rPr>
          <w:bCs/>
          <w:lang w:val="en-US"/>
        </w:rPr>
        <w:t>ESXi</w:t>
      </w:r>
      <w:r>
        <w:rPr>
          <w:bCs/>
        </w:rPr>
        <w:t xml:space="preserve"> и клиентской машине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114800"/>
            <wp:effectExtent l="0" t="0" r="0" b="0"/>
            <wp:docPr id="35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Добавление пользователя в группу безопастности</w:t>
      </w:r>
    </w:p>
    <w:p>
      <w:pPr>
        <w:pStyle w:val="Normal"/>
        <w:rPr/>
      </w:pPr>
      <w:r>
        <w:rPr/>
        <w:drawing>
          <wp:inline distT="0" distB="0" distL="0" distR="0">
            <wp:extent cx="5940425" cy="3093720"/>
            <wp:effectExtent l="0" t="0" r="0" b="0"/>
            <wp:docPr id="36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Создание и редактирование групповой политики для добавление группы безопасности на локальный компьютер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471795" cy="3895725"/>
            <wp:effectExtent l="0" t="0" r="0" b="0"/>
            <wp:docPr id="37" name="Рисунок 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6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Политика применяемая к компьютеру</w:t>
      </w:r>
    </w:p>
    <w:p>
      <w:pPr>
        <w:pStyle w:val="Normal"/>
        <w:rPr/>
      </w:pPr>
      <w:r>
        <w:rPr/>
        <w:drawing>
          <wp:inline distT="0" distB="0" distL="0" distR="0">
            <wp:extent cx="5940425" cy="3340735"/>
            <wp:effectExtent l="0" t="0" r="0" b="0"/>
            <wp:docPr id="38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Добавление группы безопасности в локальную группу</w:t>
      </w:r>
    </w:p>
    <w:p>
      <w:pPr>
        <w:pStyle w:val="Normal"/>
        <w:rPr/>
      </w:pPr>
      <w:r>
        <w:rPr/>
        <w:drawing>
          <wp:inline distT="0" distB="0" distL="0" distR="0">
            <wp:extent cx="5940425" cy="2875915"/>
            <wp:effectExtent l="0" t="0" r="0" b="0"/>
            <wp:docPr id="39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Назначение действие политики по таргету</w:t>
      </w:r>
    </w:p>
    <w:p>
      <w:pPr>
        <w:pStyle w:val="Normal"/>
        <w:rPr/>
      </w:pPr>
      <w:r>
        <w:rPr/>
        <w:drawing>
          <wp:inline distT="0" distB="0" distL="0" distR="0">
            <wp:extent cx="5940425" cy="3246755"/>
            <wp:effectExtent l="0" t="0" r="0" b="0"/>
            <wp:docPr id="40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Добавление компьютера на который действую политика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579495"/>
            <wp:effectExtent l="0" t="0" r="0" b="0"/>
            <wp:docPr id="41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Проверка на клиенте</w:t>
      </w:r>
    </w:p>
    <w:p>
      <w:pPr>
        <w:pStyle w:val="Normal"/>
        <w:rPr/>
      </w:pPr>
      <w:r>
        <w:rPr/>
        <w:drawing>
          <wp:inline distT="0" distB="0" distL="0" distR="0">
            <wp:extent cx="5940425" cy="4279900"/>
            <wp:effectExtent l="0" t="0" r="0" b="0"/>
            <wp:docPr id="42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Настройка роли iSCSI для начало необходимо создать в DNS запить типа А с именем хоста ESXi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796915" cy="3457575"/>
            <wp:effectExtent l="0" t="0" r="0" b="0"/>
            <wp:docPr id="43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bCs/>
        </w:rPr>
      </w:pPr>
      <w:r>
        <w:rPr>
          <w:bCs/>
        </w:rPr>
        <w:t>Автоматически определиться DNS Domain Name опция 015 и адрес DNS сервера опция 006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322320"/>
            <wp:effectExtent l="0" t="0" r="0" b="0"/>
            <wp:docPr id="44" name="Рисунок 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25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>Если все конфигурации правильные по завершению всех настроек можно указать отметку на yes после чего DHPC scope будет включен и начнет свою работу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741420"/>
            <wp:effectExtent l="0" t="0" r="0" b="0"/>
            <wp:docPr id="45" name="Рисунок 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25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</w:p>
    <w:p>
      <w:pPr>
        <w:pStyle w:val="Normal"/>
        <w:rPr>
          <w:bCs/>
        </w:rPr>
      </w:pPr>
      <w:r>
        <w:rPr>
          <w:bCs/>
        </w:rPr>
        <w:t>В качестве проверки можно зайти на клиента и при помощи команды ipconfig /all убедится в том что мы получили адрес по IPv4 с правильными опциями</w:t>
      </w:r>
    </w:p>
    <w:p>
      <w:pPr>
        <w:pStyle w:val="Normal"/>
        <w:rPr/>
      </w:pPr>
      <w:r>
        <w:rPr/>
        <w:drawing>
          <wp:inline distT="0" distB="0" distL="0" distR="0">
            <wp:extent cx="5940425" cy="3635375"/>
            <wp:effectExtent l="0" t="0" r="0" b="0"/>
            <wp:docPr id="46" name="Рисунок 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16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  <w:r>
        <w:br w:type="page"/>
      </w:r>
    </w:p>
    <w:p>
      <w:pPr>
        <w:pStyle w:val="Heading2"/>
        <w:rPr/>
      </w:pPr>
      <w:bookmarkStart w:id="47" w:name="_Toc75165426"/>
      <w:bookmarkStart w:id="48" w:name="_Toc75173035"/>
      <w:bookmarkStart w:id="49" w:name="_Toc75173144"/>
      <w:bookmarkStart w:id="50" w:name="_Toc75173978"/>
      <w:bookmarkStart w:id="51" w:name="_Toc74064148"/>
      <w:r>
        <w:rPr/>
        <w:t>6.3 Развертывание дополнительных инфраструктурных служб</w:t>
      </w:r>
      <w:bookmarkEnd w:id="47"/>
      <w:bookmarkEnd w:id="48"/>
      <w:bookmarkEnd w:id="49"/>
      <w:bookmarkEnd w:id="50"/>
      <w:bookmarkEnd w:id="51"/>
    </w:p>
    <w:p>
      <w:pPr>
        <w:pStyle w:val="Heading3"/>
        <w:rPr/>
      </w:pPr>
      <w:bookmarkStart w:id="52" w:name="_Toc74064149"/>
      <w:bookmarkStart w:id="53" w:name="_Toc75165427"/>
      <w:bookmarkStart w:id="54" w:name="_Toc75173036"/>
      <w:bookmarkStart w:id="55" w:name="_Toc75173145"/>
      <w:bookmarkStart w:id="56" w:name="_Toc75173979"/>
      <w:bookmarkStart w:id="57" w:name="_Toc73977787"/>
      <w:r>
        <w:rPr/>
        <w:t>6.3.1 Роль iSCSI</w:t>
      </w:r>
      <w:bookmarkEnd w:id="52"/>
      <w:bookmarkEnd w:id="53"/>
      <w:bookmarkEnd w:id="54"/>
      <w:bookmarkEnd w:id="55"/>
      <w:bookmarkEnd w:id="56"/>
      <w:bookmarkEnd w:id="57"/>
    </w:p>
    <w:p>
      <w:pPr>
        <w:pStyle w:val="Normal"/>
        <w:jc w:val="both"/>
        <w:rPr>
          <w:bCs/>
        </w:rPr>
      </w:pPr>
      <w:r>
        <w:rPr>
          <w:bCs/>
        </w:rPr>
        <w:t xml:space="preserve">Установка роли iSCSI на сервере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710940"/>
            <wp:effectExtent l="0" t="0" r="0" b="0"/>
            <wp:docPr id="47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Создание iSCSI таргита и виртуального диска для хоста ESXi</w:t>
      </w:r>
    </w:p>
    <w:p>
      <w:pPr>
        <w:pStyle w:val="Normal"/>
        <w:rPr/>
      </w:pPr>
      <w:r>
        <w:rPr/>
        <w:drawing>
          <wp:inline distT="0" distB="0" distL="0" distR="0">
            <wp:extent cx="5940425" cy="3562985"/>
            <wp:effectExtent l="0" t="0" r="0" b="0"/>
            <wp:docPr id="48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Указание директории для хранение виртуального диска iSCSI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574540"/>
            <wp:effectExtent l="0" t="0" r="0" b="0"/>
            <wp:docPr id="49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  <w:lang w:val="en-US"/>
        </w:rPr>
      </w:pPr>
      <w:r>
        <w:rPr>
          <w:b/>
          <w:lang w:val="en-US"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Указание имени виртуального диска</w:t>
      </w:r>
    </w:p>
    <w:p>
      <w:pPr>
        <w:pStyle w:val="Normal"/>
        <w:rPr/>
      </w:pPr>
      <w:r>
        <w:rPr/>
        <w:drawing>
          <wp:inline distT="0" distB="0" distL="0" distR="0">
            <wp:extent cx="5940425" cy="3954780"/>
            <wp:effectExtent l="0" t="0" r="0" b="0"/>
            <wp:docPr id="50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>Указание размера и типа хранения</w:t>
      </w:r>
    </w:p>
    <w:p>
      <w:pPr>
        <w:pStyle w:val="Normal"/>
        <w:rPr/>
      </w:pPr>
      <w:r>
        <w:rPr/>
        <w:drawing>
          <wp:inline distT="0" distB="0" distL="0" distR="0">
            <wp:extent cx="5940425" cy="3962400"/>
            <wp:effectExtent l="0" t="0" r="0" b="0"/>
            <wp:docPr id="51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Создание нового таргета для подключения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3352800"/>
            <wp:effectExtent l="0" t="0" r="0" b="0"/>
            <wp:docPr id="52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  <w:t xml:space="preserve">Тип и способ подключения для хостов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632960"/>
            <wp:effectExtent l="0" t="0" r="0" b="0"/>
            <wp:docPr id="53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/>
      </w:pPr>
      <w:r>
        <w:rPr/>
      </w:r>
      <w:bookmarkStart w:id="58" w:name="_Toc74064150"/>
      <w:bookmarkStart w:id="59" w:name="_Toc73977788"/>
      <w:bookmarkStart w:id="60" w:name="_Toc74064150"/>
      <w:bookmarkStart w:id="61" w:name="_Toc73977788"/>
    </w:p>
    <w:p>
      <w:pPr>
        <w:pStyle w:val="Heading3"/>
        <w:rPr/>
      </w:pPr>
      <w:bookmarkStart w:id="62" w:name="_Toc74064150"/>
      <w:bookmarkStart w:id="63" w:name="_Toc73977788"/>
      <w:bookmarkStart w:id="64" w:name="_Toc75173037"/>
      <w:bookmarkStart w:id="65" w:name="_Toc75173146"/>
      <w:bookmarkStart w:id="66" w:name="_Toc75173980"/>
      <w:bookmarkStart w:id="67" w:name="_Toc75165428"/>
      <w:r>
        <w:rPr/>
        <w:t>6.3.2 Роль AD CS</w:t>
      </w:r>
      <w:bookmarkEnd w:id="62"/>
      <w:bookmarkEnd w:id="63"/>
      <w:bookmarkEnd w:id="64"/>
      <w:bookmarkEnd w:id="65"/>
      <w:bookmarkEnd w:id="66"/>
      <w:bookmarkEnd w:id="67"/>
    </w:p>
    <w:p>
      <w:pPr>
        <w:pStyle w:val="Normal"/>
        <w:rPr>
          <w:bCs/>
        </w:rPr>
      </w:pPr>
      <w:r>
        <w:rPr>
          <w:bCs/>
        </w:rPr>
        <w:t>Установка роли AD CS производится аналогично как и AD DS и будет служить для выдачи сертификатов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39790" cy="3324860"/>
            <wp:effectExtent l="0" t="0" r="0" b="0"/>
            <wp:docPr id="54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При установки роли установим так же дополнительно Web Enrollment для подписи запросов через браузер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288790"/>
            <wp:effectExtent l="0" t="0" r="0" b="0"/>
            <wp:docPr id="55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>Будем использовать Enterprise CA для связки с доменам и доступу к распространению шаблонов внутри домена</w:t>
      </w:r>
    </w:p>
    <w:p>
      <w:pPr>
        <w:pStyle w:val="Normal"/>
        <w:rPr/>
      </w:pPr>
      <w:r>
        <w:rPr/>
        <w:drawing>
          <wp:inline distT="0" distB="0" distL="0" distR="0">
            <wp:extent cx="5940425" cy="3886200"/>
            <wp:effectExtent l="0" t="0" r="0" b="0"/>
            <wp:docPr id="56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  <w:t xml:space="preserve">Тип центра сертификации будет корневым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108450"/>
            <wp:effectExtent l="0" t="0" r="0" b="0"/>
            <wp:docPr id="57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 w:before="0" w:after="160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rPr>
          <w:bCs/>
        </w:rPr>
      </w:pPr>
      <w:r>
        <w:rPr>
          <w:bCs/>
        </w:rPr>
        <w:t xml:space="preserve">Сказываем срок жизни корневого сертификата </w:t>
      </w:r>
    </w:p>
    <w:p>
      <w:pPr>
        <w:pStyle w:val="Normal"/>
        <w:spacing w:lineRule="auto" w:line="259" w:before="0" w:after="160"/>
        <w:rPr/>
      </w:pPr>
      <w:r>
        <w:rPr/>
        <w:drawing>
          <wp:inline distT="0" distB="0" distL="0" distR="0">
            <wp:extent cx="5940425" cy="4358640"/>
            <wp:effectExtent l="0" t="0" r="0" b="0"/>
            <wp:docPr id="58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</w:rPr>
      </w:pPr>
      <w:r>
        <w:rPr>
          <w:bCs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FreeSans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numPr>
        <w:ilvl w:val="0"/>
        <w:numId w:val="0"/>
      </w:numPr>
      <w:spacing w:before="0" w:after="240"/>
      <w:jc w:val="center"/>
      <w:outlineLvl w:val="0"/>
    </w:pPr>
    <w:rPr>
      <w:rFonts w:ascii="Arial" w:hAnsi="Arial" w:eastAsia="Calibri" w:cs="DejaVu Sans"/>
      <w:b/>
      <w:sz w:val="32"/>
      <w:szCs w:val="32"/>
    </w:rPr>
  </w:style>
  <w:style w:type="paragraph" w:styleId="Heading2">
    <w:name w:val="Heading 2"/>
    <w:basedOn w:val="Normal"/>
    <w:next w:val="Normal"/>
    <w:qFormat/>
    <w:pPr>
      <w:keepNext w:val="true"/>
      <w:keepLines/>
      <w:numPr>
        <w:ilvl w:val="0"/>
        <w:numId w:val="0"/>
      </w:numPr>
      <w:spacing w:before="40" w:after="0"/>
      <w:outlineLvl w:val="1"/>
    </w:pPr>
    <w:rPr>
      <w:rFonts w:ascii="Arial" w:hAnsi="Arial" w:eastAsia="Calibri" w:cs="DejaVu Sans"/>
      <w:b/>
      <w:sz w:val="28"/>
      <w:szCs w:val="26"/>
    </w:rPr>
  </w:style>
  <w:style w:type="paragraph" w:styleId="Heading3">
    <w:name w:val="Heading 3"/>
    <w:basedOn w:val="Normal"/>
    <w:next w:val="Normal"/>
    <w:qFormat/>
    <w:pPr>
      <w:keepNext w:val="true"/>
      <w:keepLines/>
      <w:numPr>
        <w:ilvl w:val="0"/>
        <w:numId w:val="0"/>
      </w:numPr>
      <w:spacing w:before="40" w:after="0"/>
      <w:outlineLvl w:val="2"/>
    </w:pPr>
    <w:rPr>
      <w:rFonts w:ascii="Arial" w:hAnsi="Arial" w:eastAsia="Calibri" w:cs="DejaVu Sans"/>
      <w:b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1">
    <w:name w:val="!Текст"/>
    <w:basedOn w:val="Normal"/>
    <w:qFormat/>
    <w:pPr>
      <w:spacing w:lineRule="auto" w:line="360"/>
      <w:jc w:val="both"/>
    </w:pPr>
    <w:rPr>
      <w:sz w:val="20"/>
      <w:szCs w:val="20"/>
      <w:lang w:val="x-no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fontTable" Target="fontTable.xml"/><Relationship Id="rId6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LibreOffice/6.2.8.2$Linux_x86 LibreOffice_project/20$Build-2</Application>
  <Pages>31</Pages>
  <Words>655</Words>
  <Characters>3986</Characters>
  <CharactersWithSpaces>4591</CharactersWithSpaces>
  <Paragraphs>124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2021-06-26T19:30:45Z</dcterms:created>
  <dc:creator/>
  <dc:description/>
  <dc:language>ru-RU</dc:language>
  <cp:lastModifiedBy/>
  <dcterms:modified xsi:type="dcterms:W3CDTF">2021-06-26T19:34:33Z</dcterms:modified>
  <cp:revision>2</cp:revision>
  <dc:subject/>
  <dc:title/>
</cp:coreProperties>
</file>